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Enquadramento: </w:t>
      </w:r>
      <w:r>
        <w:rPr>
          <w:rFonts w:ascii="Arial" w:hAnsi="Arial" w:cs="Arial"/>
          <w:sz w:val="20"/>
          <w:szCs w:val="20"/>
        </w:rPr>
        <w:t>Reparação, retífica ou manutenção de máquinas, aparelhos e equipamentos industriais e mecânicos diversos, inclusive motores automotivos, com ou sem pintura por aspersão, incluindo oficinas mecânicas.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Capacidade Máxima de Processamento:</w:t>
      </w:r>
      <w:r>
        <w:rPr>
          <w:rFonts w:ascii="Arial" w:hAnsi="Arial" w:cs="Arial"/>
          <w:sz w:val="20"/>
          <w:szCs w:val="20"/>
        </w:rPr>
        <w:t xml:space="preserve"> 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(á</w:t>
      </w:r>
      <w:r>
        <w:rPr>
          <w:rFonts w:ascii="Arial" w:hAnsi="Arial" w:cs="Arial"/>
          <w:i/>
          <w:sz w:val="20"/>
          <w:szCs w:val="20"/>
        </w:rPr>
        <w:t>rea construída + área de estocagem + área de estacionamento + área de apoio</w:t>
      </w:r>
      <w:r>
        <w:rPr>
          <w:rFonts w:ascii="Arial" w:hAnsi="Arial" w:cs="Arial"/>
          <w:sz w:val="20"/>
          <w:szCs w:val="20"/>
        </w:rPr>
        <w:t>).I ≤ 0,5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softHyphen/>
      </w:r>
      <w:r>
        <w:softHyphen/>
      </w:r>
      <w:r>
        <w:softHyphen/>
      </w:r>
      <w:r>
        <w:t>.................. (m³/mês) ou .................. (kg/mês) ou ............... (.........)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IV.10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b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25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proteção de superfície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procedimento realizado: (   ) Manual; (   )Aspersão; (   )Imersão; (   )Outros. Descrever: 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de proteção de superfície é provido de cabine 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gerados: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numId w:val="0"/>
        </w:numPr>
        <w:spacing w:line="360" w:lineRule="auto"/>
        <w:ind w:left="709" w:leftChars="0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</w:p>
    <w:p>
      <w:pPr>
        <w:pStyle w:val="1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</w:t>
      </w:r>
      <w:bookmarkStart w:id="4" w:name="_GoBack"/>
      <w:bookmarkEnd w:id="4"/>
      <w:r>
        <w:rPr>
          <w:rFonts w:ascii="Arial" w:hAnsi="Arial" w:cs="Arial"/>
          <w:b/>
          <w:sz w:val="16"/>
          <w:szCs w:val="16"/>
        </w:rPr>
        <w:t>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A6D75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728F"/>
    <w:rsid w:val="461A2CB9"/>
    <w:rsid w:val="5C0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6632</Words>
  <Characters>35816</Characters>
  <Lines>298</Lines>
  <Paragraphs>84</Paragraphs>
  <ScaleCrop>false</ScaleCrop>
  <LinksUpToDate>false</LinksUpToDate>
  <CharactersWithSpaces>42364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cp:lastModifiedBy>julielzabetzel</cp:lastModifiedBy>
  <dcterms:modified xsi:type="dcterms:W3CDTF">2019-02-08T10:42:51Z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