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Beneficiamento, fiação e tecelagem de fibras têxteis, sem tingimento.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útil (área construída + área de estocagem, quando houver)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Telefone para contato: (.....) ..................................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>II.9</w:t>
      </w:r>
      <w:r>
        <w:rPr>
          <w:rFonts w:cs="Arial"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b/>
        </w:rPr>
        <w:t>IV.6</w:t>
      </w:r>
      <w:r>
        <w:rPr>
          <w:rFonts w:cs="Arial"/>
        </w:rPr>
        <w:t xml:space="preserve"> – Especificar o produto utilizado para o tingimento:.........................................................................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...........................................................................................................................................................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b/>
        </w:rPr>
        <w:t>IV.7 –</w:t>
      </w:r>
      <w:r>
        <w:rPr>
          <w:rFonts w:cs="Arial"/>
        </w:rPr>
        <w:t xml:space="preserve"> Identificar os processos de produção: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Chamuscagem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5" o:spid="_x0000_s2085" o:spt="32" type="#_x0000_t32" style="position:absolute;left:0pt;margin-left:91pt;margin-top:4.9pt;height:0pt;width:21.1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Desengomagem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Enzimática ou </w:t>
      </w:r>
      <w:r>
        <w:rPr>
          <w:rFonts w:cs="Arial"/>
        </w:rPr>
        <w:sym w:font="Webdings" w:char="F063"/>
      </w:r>
      <w:r>
        <w:rPr>
          <w:rFonts w:cs="Arial"/>
        </w:rPr>
        <w:t xml:space="preserve"> Oxidativa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Alvejamento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Branquiamento óptico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Mercerização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Estampagem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Secagem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Sanforização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Felpagem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Navalhagem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Esmerilhagem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Amaciamento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Encorpamento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usados no processo produtivo.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5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resfriamento, óleos solúveis refrigerantes,</w:t>
      </w:r>
      <w:r>
        <w:rPr>
          <w:rFonts w:cs="Arial"/>
          <w:i/>
        </w:rPr>
        <w:t xml:space="preserve"> água residuária ou solventes)?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19"/>
        <w:numPr>
          <w:numId w:val="0"/>
        </w:numPr>
        <w:spacing w:before="335" w:beforeAutospacing="0" w:after="335" w:afterAutospacing="0" w:line="360" w:lineRule="auto"/>
        <w:ind w:left="1030" w:leftChars="0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10"/>
        <w:tblW w:w="9487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  <w:jc w:val="center"/>
        </w:trPr>
        <w:tc>
          <w:tcPr>
            <w:tcW w:w="94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1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09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 Outros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(L):__________________________________________________________;</w:t>
      </w:r>
    </w:p>
    <w:p>
      <w:pPr>
        <w:pStyle w:val="15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bottomFromText="200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19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rPr>
          <w:rFonts w:cs="Arial"/>
        </w:rPr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00332"/>
    <w:rsid w:val="00070A75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05A31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337C3"/>
    <w:rsid w:val="00736B6C"/>
    <w:rsid w:val="00784348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29F1"/>
    <w:rsid w:val="0099602E"/>
    <w:rsid w:val="009A1256"/>
    <w:rsid w:val="009C099B"/>
    <w:rsid w:val="009D537F"/>
    <w:rsid w:val="009E20DA"/>
    <w:rsid w:val="00A31D32"/>
    <w:rsid w:val="00A821E3"/>
    <w:rsid w:val="00AB01F7"/>
    <w:rsid w:val="00AD7246"/>
    <w:rsid w:val="00AF7DB9"/>
    <w:rsid w:val="00B27222"/>
    <w:rsid w:val="00B63E61"/>
    <w:rsid w:val="00B6685E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35D52"/>
    <w:rsid w:val="00E52AFD"/>
    <w:rsid w:val="00E621D3"/>
    <w:rsid w:val="00EB59D0"/>
    <w:rsid w:val="00EF0A35"/>
    <w:rsid w:val="00F11B00"/>
    <w:rsid w:val="00F258FD"/>
    <w:rsid w:val="00F74B6D"/>
    <w:rsid w:val="00F9340A"/>
    <w:rsid w:val="00F9705F"/>
    <w:rsid w:val="00FC4F58"/>
    <w:rsid w:val="00FD51EE"/>
    <w:rsid w:val="65B131D7"/>
    <w:rsid w:val="7EB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after="120"/>
    </w:pPr>
  </w:style>
  <w:style w:type="paragraph" w:styleId="4">
    <w:name w:val="annotation text"/>
    <w:basedOn w:val="1"/>
    <w:link w:val="17"/>
    <w:uiPriority w:val="0"/>
    <w:rPr>
      <w:sz w:val="20"/>
      <w:szCs w:val="20"/>
    </w:rPr>
  </w:style>
  <w:style w:type="paragraph" w:styleId="5">
    <w:name w:val="Body Text 2"/>
    <w:basedOn w:val="1"/>
    <w:link w:val="16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uiPriority w:val="99"/>
  </w:style>
  <w:style w:type="character" w:customStyle="1" w:styleId="12">
    <w:name w:val="Rodapé Char"/>
    <w:basedOn w:val="9"/>
    <w:link w:val="7"/>
    <w:semiHidden/>
    <w:qFormat/>
    <w:uiPriority w:val="99"/>
  </w:style>
  <w:style w:type="character" w:customStyle="1" w:styleId="13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85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4930</Words>
  <Characters>26628</Characters>
  <Lines>221</Lines>
  <Paragraphs>62</Paragraphs>
  <ScaleCrop>false</ScaleCrop>
  <LinksUpToDate>false</LinksUpToDate>
  <CharactersWithSpaces>31496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2013-04-15T13:21:00Z</dcterms:created>
  <dc:creator>glibardi</dc:creator>
  <cp:lastModifiedBy>julielzabetzel</cp:lastModifiedBy>
  <dcterms:modified xsi:type="dcterms:W3CDTF">2019-02-12T16:45:08Z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